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szCs w:val="30"/>
        </w:rPr>
      </w:pPr>
      <w:r>
        <w:rPr>
          <w:rFonts w:hint="eastAsia"/>
          <w:b/>
          <w:bCs/>
          <w:sz w:val="30"/>
          <w:szCs w:val="30"/>
        </w:rPr>
        <w:t>旅游与社会管理学院</w:t>
      </w:r>
    </w:p>
    <w:p>
      <w:pPr>
        <w:jc w:val="center"/>
        <w:rPr>
          <w:b/>
          <w:bCs/>
          <w:sz w:val="30"/>
          <w:szCs w:val="30"/>
        </w:rPr>
      </w:pPr>
      <w:r>
        <w:rPr>
          <w:rFonts w:hint="eastAsia"/>
          <w:b/>
          <w:bCs/>
          <w:sz w:val="30"/>
          <w:szCs w:val="30"/>
        </w:rPr>
        <w:t>学生出国（境）学习奖励性资助管理办法</w:t>
      </w:r>
    </w:p>
    <w:p>
      <w:pPr>
        <w:jc w:val="center"/>
        <w:rPr>
          <w:b/>
          <w:bCs/>
          <w:sz w:val="30"/>
          <w:szCs w:val="30"/>
        </w:rPr>
      </w:pPr>
      <w:r>
        <w:rPr>
          <w:rFonts w:hint="eastAsia"/>
          <w:b/>
          <w:bCs/>
          <w:sz w:val="30"/>
          <w:szCs w:val="30"/>
        </w:rPr>
        <w:t>（试行）</w:t>
      </w:r>
    </w:p>
    <w:p>
      <w:pPr>
        <w:ind w:firstLine="422" w:firstLineChars="200"/>
        <w:rPr>
          <w:b/>
          <w:bCs/>
        </w:rPr>
      </w:pPr>
    </w:p>
    <w:p>
      <w:pPr>
        <w:spacing w:line="360" w:lineRule="auto"/>
        <w:ind w:firstLine="480" w:firstLineChars="200"/>
        <w:rPr>
          <w:sz w:val="24"/>
        </w:rPr>
      </w:pPr>
      <w:r>
        <w:rPr>
          <w:rFonts w:hint="eastAsia"/>
          <w:sz w:val="24"/>
        </w:rPr>
        <w:t>为了推进国际化办学，开阔学生视野，增强学生自主学习的积极性，旅游与社会管理学院决定，在学院经费允许的前提下，对学生出国（境）开展各种形式的学习交流予以适当资助。为规范此项工作，依据南晓院（2017）27号文件，特制定本办法。</w:t>
      </w:r>
    </w:p>
    <w:p>
      <w:pPr>
        <w:numPr>
          <w:ilvl w:val="0"/>
          <w:numId w:val="1"/>
        </w:numPr>
        <w:spacing w:line="360" w:lineRule="auto"/>
        <w:ind w:firstLine="480" w:firstLineChars="200"/>
        <w:rPr>
          <w:sz w:val="24"/>
        </w:rPr>
      </w:pPr>
      <w:r>
        <w:rPr>
          <w:rFonts w:hint="eastAsia"/>
          <w:sz w:val="24"/>
        </w:rPr>
        <w:t>资助对象</w:t>
      </w:r>
    </w:p>
    <w:p>
      <w:pPr>
        <w:numPr>
          <w:ilvl w:val="0"/>
          <w:numId w:val="2"/>
        </w:numPr>
        <w:spacing w:line="360" w:lineRule="auto"/>
        <w:ind w:firstLine="480" w:firstLineChars="200"/>
        <w:rPr>
          <w:sz w:val="24"/>
        </w:rPr>
      </w:pPr>
      <w:r>
        <w:rPr>
          <w:rFonts w:hint="eastAsia"/>
          <w:sz w:val="24"/>
        </w:rPr>
        <w:t>学校正式签署的国际合作协议的交流项目</w:t>
      </w:r>
    </w:p>
    <w:p>
      <w:pPr>
        <w:numPr>
          <w:ilvl w:val="0"/>
          <w:numId w:val="2"/>
        </w:numPr>
        <w:spacing w:line="360" w:lineRule="auto"/>
        <w:ind w:firstLine="480" w:firstLineChars="200"/>
        <w:rPr>
          <w:sz w:val="24"/>
        </w:rPr>
      </w:pPr>
      <w:r>
        <w:rPr>
          <w:rFonts w:hint="eastAsia"/>
          <w:sz w:val="24"/>
        </w:rPr>
        <w:t>江苏高校学生境外学习政府奖学金项目</w:t>
      </w:r>
    </w:p>
    <w:p>
      <w:pPr>
        <w:numPr>
          <w:ilvl w:val="0"/>
          <w:numId w:val="2"/>
        </w:numPr>
        <w:spacing w:line="360" w:lineRule="auto"/>
        <w:ind w:firstLine="480" w:firstLineChars="200"/>
        <w:rPr>
          <w:sz w:val="24"/>
        </w:rPr>
      </w:pPr>
      <w:r>
        <w:rPr>
          <w:rFonts w:hint="eastAsia"/>
          <w:sz w:val="24"/>
        </w:rPr>
        <w:t>由学院联系的各类国际课程学习、项目研究、教学实习等项目</w:t>
      </w:r>
    </w:p>
    <w:p>
      <w:pPr>
        <w:numPr>
          <w:ilvl w:val="0"/>
          <w:numId w:val="2"/>
        </w:numPr>
        <w:spacing w:line="360" w:lineRule="auto"/>
        <w:ind w:firstLine="480" w:firstLineChars="200"/>
        <w:rPr>
          <w:sz w:val="24"/>
        </w:rPr>
      </w:pPr>
      <w:r>
        <w:rPr>
          <w:rFonts w:hint="eastAsia"/>
          <w:sz w:val="24"/>
        </w:rPr>
        <w:t>学生自行联系的并事先报学院批准备案的国际交流活动</w:t>
      </w:r>
    </w:p>
    <w:p>
      <w:pPr>
        <w:numPr>
          <w:ilvl w:val="0"/>
          <w:numId w:val="1"/>
        </w:numPr>
        <w:spacing w:line="360" w:lineRule="auto"/>
        <w:ind w:firstLine="480" w:firstLineChars="200"/>
        <w:rPr>
          <w:sz w:val="24"/>
        </w:rPr>
      </w:pPr>
      <w:r>
        <w:rPr>
          <w:rFonts w:hint="eastAsia"/>
          <w:sz w:val="24"/>
        </w:rPr>
        <w:t>资助额度</w:t>
      </w:r>
    </w:p>
    <w:p>
      <w:pPr>
        <w:numPr>
          <w:ilvl w:val="0"/>
          <w:numId w:val="3"/>
        </w:numPr>
        <w:spacing w:line="360" w:lineRule="auto"/>
        <w:ind w:firstLine="480" w:firstLineChars="200"/>
        <w:rPr>
          <w:sz w:val="24"/>
        </w:rPr>
      </w:pPr>
      <w:r>
        <w:rPr>
          <w:rFonts w:hint="eastAsia"/>
          <w:sz w:val="24"/>
        </w:rPr>
        <w:t>在外一学期及以上的项目资助额度为学生实际缴纳学费和购买机票费的20%</w:t>
      </w:r>
    </w:p>
    <w:p>
      <w:pPr>
        <w:numPr>
          <w:ilvl w:val="0"/>
          <w:numId w:val="3"/>
        </w:numPr>
        <w:spacing w:line="360" w:lineRule="auto"/>
        <w:ind w:firstLine="480" w:firstLineChars="200"/>
        <w:rPr>
          <w:sz w:val="24"/>
        </w:rPr>
      </w:pPr>
      <w:r>
        <w:rPr>
          <w:rFonts w:hint="eastAsia"/>
          <w:sz w:val="24"/>
        </w:rPr>
        <w:t>1个月以内短期项目资助总费用的20%，总费用额度由学院根据具体项目的实际情况进行核定。</w:t>
      </w:r>
    </w:p>
    <w:p>
      <w:pPr>
        <w:numPr>
          <w:ilvl w:val="0"/>
          <w:numId w:val="3"/>
        </w:numPr>
        <w:spacing w:line="360" w:lineRule="auto"/>
        <w:ind w:firstLine="480" w:firstLineChars="200"/>
        <w:rPr>
          <w:sz w:val="24"/>
        </w:rPr>
      </w:pPr>
      <w:r>
        <w:rPr>
          <w:rFonts w:hint="eastAsia"/>
          <w:sz w:val="24"/>
        </w:rPr>
        <w:t>每年资助学生人数上限20人</w:t>
      </w:r>
    </w:p>
    <w:p>
      <w:pPr>
        <w:numPr>
          <w:ilvl w:val="0"/>
          <w:numId w:val="3"/>
        </w:numPr>
        <w:spacing w:line="360" w:lineRule="auto"/>
        <w:ind w:firstLine="480" w:firstLineChars="200"/>
        <w:rPr>
          <w:sz w:val="24"/>
        </w:rPr>
      </w:pPr>
      <w:r>
        <w:rPr>
          <w:rFonts w:hint="eastAsia"/>
          <w:sz w:val="24"/>
        </w:rPr>
        <w:t>其他项目资助标准按照实际情况另行制定</w:t>
      </w:r>
    </w:p>
    <w:p>
      <w:pPr>
        <w:numPr>
          <w:ilvl w:val="0"/>
          <w:numId w:val="4"/>
        </w:numPr>
        <w:spacing w:line="360" w:lineRule="auto"/>
        <w:ind w:firstLine="480" w:firstLineChars="200"/>
        <w:rPr>
          <w:sz w:val="24"/>
        </w:rPr>
      </w:pPr>
      <w:r>
        <w:rPr>
          <w:rFonts w:hint="eastAsia"/>
          <w:sz w:val="24"/>
        </w:rPr>
        <w:t>考核和学分认定</w:t>
      </w:r>
    </w:p>
    <w:p>
      <w:pPr>
        <w:numPr>
          <w:ilvl w:val="0"/>
          <w:numId w:val="5"/>
        </w:numPr>
        <w:spacing w:line="360" w:lineRule="auto"/>
        <w:ind w:firstLine="480" w:firstLineChars="200"/>
        <w:rPr>
          <w:sz w:val="24"/>
        </w:rPr>
      </w:pPr>
      <w:r>
        <w:rPr>
          <w:rFonts w:hint="eastAsia"/>
          <w:sz w:val="24"/>
        </w:rPr>
        <w:t>学生返校后需完成相关部门和学院对其的交流成果考核后，学院根据核定的资助额度据实报销。</w:t>
      </w:r>
    </w:p>
    <w:p>
      <w:pPr>
        <w:numPr>
          <w:ilvl w:val="0"/>
          <w:numId w:val="5"/>
        </w:numPr>
        <w:spacing w:line="360" w:lineRule="auto"/>
        <w:ind w:firstLine="480" w:firstLineChars="200"/>
        <w:rPr>
          <w:sz w:val="24"/>
        </w:rPr>
      </w:pPr>
      <w:r>
        <w:rPr>
          <w:rFonts w:hint="eastAsia"/>
          <w:sz w:val="24"/>
        </w:rPr>
        <w:t>学分认定由学院审定，报教务处复核予以认定。</w:t>
      </w:r>
    </w:p>
    <w:p>
      <w:pPr>
        <w:spacing w:line="360" w:lineRule="auto"/>
        <w:ind w:firstLine="480" w:firstLineChars="200"/>
        <w:rPr>
          <w:sz w:val="24"/>
        </w:rPr>
      </w:pPr>
      <w:r>
        <w:rPr>
          <w:rFonts w:hint="eastAsia"/>
          <w:sz w:val="24"/>
        </w:rPr>
        <w:t xml:space="preserve">本办法自2017年6月1日开始试行，未尽事宜有学院教学委员会共同商定。 </w:t>
      </w:r>
    </w:p>
    <w:p>
      <w:pPr>
        <w:spacing w:line="360" w:lineRule="auto"/>
        <w:ind w:right="480"/>
        <w:jc w:val="center"/>
        <w:rPr>
          <w:rFonts w:hint="eastAsia"/>
          <w:sz w:val="24"/>
        </w:rPr>
      </w:pPr>
      <w:r>
        <w:rPr>
          <w:rFonts w:hint="eastAsia"/>
          <w:sz w:val="24"/>
        </w:rPr>
        <w:t xml:space="preserve">                                      </w:t>
      </w:r>
    </w:p>
    <w:p>
      <w:pPr>
        <w:spacing w:line="360" w:lineRule="auto"/>
        <w:ind w:right="480"/>
        <w:jc w:val="right"/>
        <w:rPr>
          <w:sz w:val="24"/>
        </w:rPr>
      </w:pPr>
      <w:r>
        <w:rPr>
          <w:rFonts w:hint="eastAsia"/>
          <w:sz w:val="24"/>
        </w:rPr>
        <w:t xml:space="preserve">                  旅游与社会管理学院</w:t>
      </w:r>
    </w:p>
    <w:p>
      <w:pPr>
        <w:spacing w:line="360" w:lineRule="auto"/>
        <w:ind w:right="480" w:firstLine="5400" w:firstLineChars="2250"/>
        <w:jc w:val="right"/>
        <w:rPr>
          <w:sz w:val="24"/>
        </w:rPr>
      </w:pPr>
      <w:r>
        <w:rPr>
          <w:rFonts w:hint="eastAsia"/>
          <w:sz w:val="24"/>
        </w:rPr>
        <w:t>2017年5月11日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3BDC5"/>
    <w:multiLevelType w:val="singleLevel"/>
    <w:tmpl w:val="5913BDC5"/>
    <w:lvl w:ilvl="0" w:tentative="0">
      <w:start w:val="1"/>
      <w:numFmt w:val="chineseCounting"/>
      <w:suff w:val="nothing"/>
      <w:lvlText w:val="%1、"/>
      <w:lvlJc w:val="left"/>
    </w:lvl>
  </w:abstractNum>
  <w:abstractNum w:abstractNumId="1">
    <w:nsid w:val="5913BEC2"/>
    <w:multiLevelType w:val="singleLevel"/>
    <w:tmpl w:val="5913BEC2"/>
    <w:lvl w:ilvl="0" w:tentative="0">
      <w:start w:val="1"/>
      <w:numFmt w:val="decimal"/>
      <w:suff w:val="nothing"/>
      <w:lvlText w:val="%1、"/>
      <w:lvlJc w:val="left"/>
    </w:lvl>
  </w:abstractNum>
  <w:abstractNum w:abstractNumId="2">
    <w:nsid w:val="5913C168"/>
    <w:multiLevelType w:val="singleLevel"/>
    <w:tmpl w:val="5913C168"/>
    <w:lvl w:ilvl="0" w:tentative="0">
      <w:start w:val="1"/>
      <w:numFmt w:val="decimal"/>
      <w:suff w:val="nothing"/>
      <w:lvlText w:val="%1、"/>
      <w:lvlJc w:val="left"/>
    </w:lvl>
  </w:abstractNum>
  <w:abstractNum w:abstractNumId="3">
    <w:nsid w:val="5913C33F"/>
    <w:multiLevelType w:val="singleLevel"/>
    <w:tmpl w:val="5913C33F"/>
    <w:lvl w:ilvl="0" w:tentative="0">
      <w:start w:val="3"/>
      <w:numFmt w:val="chineseCounting"/>
      <w:suff w:val="nothing"/>
      <w:lvlText w:val="%1、"/>
      <w:lvlJc w:val="left"/>
    </w:lvl>
  </w:abstractNum>
  <w:abstractNum w:abstractNumId="4">
    <w:nsid w:val="5913C457"/>
    <w:multiLevelType w:val="singleLevel"/>
    <w:tmpl w:val="5913C457"/>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26A5701"/>
    <w:rsid w:val="00014ABA"/>
    <w:rsid w:val="003E16E9"/>
    <w:rsid w:val="004825D0"/>
    <w:rsid w:val="00694FF3"/>
    <w:rsid w:val="00955332"/>
    <w:rsid w:val="009E2C7C"/>
    <w:rsid w:val="0A847744"/>
    <w:rsid w:val="0D6723EA"/>
    <w:rsid w:val="194F6194"/>
    <w:rsid w:val="20E94995"/>
    <w:rsid w:val="26F84EFE"/>
    <w:rsid w:val="2E1741D8"/>
    <w:rsid w:val="2E65016E"/>
    <w:rsid w:val="2F794849"/>
    <w:rsid w:val="33E85EBB"/>
    <w:rsid w:val="37934964"/>
    <w:rsid w:val="437F1B41"/>
    <w:rsid w:val="4964084C"/>
    <w:rsid w:val="4DDF5DF4"/>
    <w:rsid w:val="4F2B21E9"/>
    <w:rsid w:val="526A5701"/>
    <w:rsid w:val="5A961C33"/>
    <w:rsid w:val="5C297058"/>
    <w:rsid w:val="5C3E3DE6"/>
    <w:rsid w:val="64404B97"/>
    <w:rsid w:val="67CF60BA"/>
    <w:rsid w:val="684E69AA"/>
    <w:rsid w:val="6C88705E"/>
    <w:rsid w:val="6CED1477"/>
    <w:rsid w:val="6E1D01B2"/>
    <w:rsid w:val="706E42FF"/>
    <w:rsid w:val="7792097B"/>
    <w:rsid w:val="7BF07163"/>
    <w:rsid w:val="7C2911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81</Words>
  <Characters>467</Characters>
  <Lines>3</Lines>
  <Paragraphs>1</Paragraphs>
  <TotalTime>0</TotalTime>
  <ScaleCrop>false</ScaleCrop>
  <LinksUpToDate>false</LinksUpToDate>
  <CharactersWithSpaces>547</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2017-05-11T00:40:00Z</dcterms:created>
  <dc:creator>dell</dc:creator>
  <cp:lastModifiedBy>dell</cp:lastModifiedBy>
  <dcterms:modified xsi:type="dcterms:W3CDTF">2017-05-17T01:08:48Z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